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u w:val="none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u w:val="none"/>
          <w:lang w:eastAsia="ru-RU"/>
        </w:rPr>
        <w:t>Лабораторно-инструментальные методы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cap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none"/>
          <w:lang w:eastAsia="ru-RU"/>
        </w:rPr>
        <w:t>экологических исследований и обработки информации</w:t>
      </w:r>
      <w:r>
        <w:rPr>
          <w:rFonts w:ascii="Times New Roman" w:hAnsi="Times New Roman"/>
          <w:b/>
          <w:cap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none"/>
          <w:lang w:eastAsia="ru-RU"/>
        </w:rPr>
        <w:t>05.03.06 Экология и природопользование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none"/>
          <w:lang w:eastAsia="ru-RU"/>
        </w:rPr>
        <w:t>Экологический менеджмент и аудит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none"/>
          <w:lang w:eastAsia="ru-RU"/>
        </w:rPr>
        <w:t>бакалавр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none"/>
          <w:lang w:eastAsia="ru-RU"/>
        </w:rPr>
        <w:t>очная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b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«Лабораторно-инструментальные методы экологических исследований и обработки информации» является неотъемлемой частью основной профессиональной образовательной программы уровня универсального бакалавриата для студентов, обучающихся по направлению подготовки </w:t>
      </w:r>
      <w:r>
        <w:rPr>
          <w:rFonts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профиль «Экологический менеджмент и аудит».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Ведущей идеей экологического образования выступает коэволюция природы и общества, рациональное использование и охрана природных ресурсов как условие устойчивого развития Биосферы Земли. Идеи коэволюции и устойчивого развития  определяют целевые  ориентиры модуля –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 планирования, организации и самостоятельного осуществления научно-исследовательской, проектной и экспертной деятельности в области мониторинга, экодиагностики и охраны окружающей среды, и рационального природопользования, ориентируясь на научно-теоретические и методологические знания, полученные при изучении дисциплин и учебных практик модуля.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«Лабораторно-инструментальные методы экологических исследований и обработки информации» выбран личностно-ориентированный, деятельностный, научно-исследовательский и компетентностный подходы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Компетентностная и личностно-деятельностная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 проектную и экспертную деятельность.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ориентиров для достижения образовательных результатов и построения содержания модуля были определены принципы: научности, экогуманизма, природосообразности, практико–ориентированный и эколого–краеведческий. </w:t>
        <w:tab/>
        <w:tab/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Принцип научности подразумевает соответствие содержания модуля современной междисциплинарной научно-теоретической базе в области биоэкологии, экологичсеского нормирования, охраны окружающей среды и рационального природопользования.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экогуманизма выражает идею формирования будущих профессионалов, способных к экологически целесообразной природопользовательской и природоохранной деятельности с установкой на устойчивое развитие.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принципа природосообразности отбиралось научное содержание дисциплин модуля в логике от простого – к сложному, от незнания – к знанию, от понятного – к непонятному.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Практико–ориентированный принцип является формой проявления личностно–деятельностного обучения и отражается в переориентации образования от знаниевой парадигмы, характерной чертой которой является проблема  разрыва знаний от умений их применять, к компетентностной.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обучающихся профессиональных  экологических  навыков и умений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Эколого–краеведческий принцип акцентирует внимание на решении существующих экологических проблемах окружающей среды  ближайшего социоприродного окружения (родного города, области, страны), способствует установлению взаимосвязей между экологической обстановкой в своей местности и глобальными экологичес</w:t>
        <w:softHyphen/>
        <w:t>кими проблемами.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освоения обучающимися научно-теоретических и методологических знаний, необходимых для формирования навыков планирования, организации и самостоятельного осуществления научно-исследовательской и экспертной деятельности в области экологии и экологической диагностики состояния компонентов окружающей среды на основе современных эколого-аналитических и биоиндикационных исследовательских способов лабораторной методологии.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условия для формирования у обучающихся фундаментальной научно-экологической системы знаний в области планирования и организации проведения научно-экологических исследований, естественных и техногенных процессов, протекающих в биосфере, а также в области физико-химических и биоиндикационных методов лабораторного анализа объектов окружающей среды;  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научно-методологических знаний и умений проведения лабораторных научных исследований экологического состояния природных компонентов, в том числе с использованием современных технологий контактных физико-химических и биоиндикационных методов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изучения современных эколого-аналитических методов и технологий исследований состояния окружающей среды, таких как различные титриметрические, спектральные, электрохимические, вольтамперометрические, флуориметрические, биотоксикологические, биоиндикационные и иные методы;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студентами навыками исследования и оценки состояния компонентов окружающей среды и проектирования природоохранной деятельности на различных уровнях организации территории;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поддержания устойчивого развития Биосферы Земли.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ОПК-3: Способен применять базовые методы экологических исследований для решения задач профессиональной деятельности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ОПК 3.1 Способен применять эмпирические методы экологических исследований для решения задач профессиональной деятельности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ПК-1: владением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1.1 владение теоретическими знаниями землеведения, ландшафтоведения, ресурсоведения, регионального природопользования, картографии,  геохимии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ПК-3: 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3.1 владение методами отбора проб и проведения химико-аналитического анализа объектов окружающей среды, формирования баз данных загрязнения окружающей среды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 3.2 владение методами геохимических исследований, обработки, анализа и синтеза производственной, полевой и лабораторной экологической информации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tbl>
      <w:tblPr>
        <w:tblW w:w="5000" w:type="pct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14"/>
        <w:gridCol w:w="2430"/>
        <w:gridCol w:w="1613"/>
        <w:gridCol w:w="1975"/>
        <w:gridCol w:w="2422"/>
      </w:tblGrid>
      <w:tr>
        <w:trPr/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Владеет навыками лабораторно-аналитического определения ряда органолептических, физико-химических, биоэкологических, токсикологических показателей с целью осуществления экологического мониторинга  естественных и антропогенно преобразованных природных компонентов окружающей среды для последующей оптимизации состояния экосистем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 3.1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1.1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3.1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3.2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Лекция, семинар, решение ситуационных задач, лабораторные работы,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проектирование,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 в ЭОС,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выводы по результатам выполнения лабораторных, практических работ и научно-исследовательских проектов, выступление с докладом,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ответы на вопросы, мультимедийная презентация 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/>
          <w:b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Руководитель:</w:t>
      </w:r>
      <w:r>
        <w:rPr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Козлов Андрей Владимирович, к.б.н., доцент,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Преподаватели: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Кротова Елена Александровна, к.п.н., доцент,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b/>
          <w:b/>
          <w:bCs/>
          <w:spacing w:val="-8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Вершинина Ирина Валерьевна, к.б.н., доцент кафедры экологического образования и рационального природопользования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Образовательный модуль «Лабораторно-инструментальные методы экологических исследований и обработки информации» изучается студентами на третьем и четвертом курсах в пятом, шестом, седьмом и восьмом семестрах. Предваряет обучение по модулю «Прикладная экология».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 числу компетенций, необходимых обучающимся для его изучения, относятся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компетенции, освоенные при изучении дисциплин модулей «Естественнонаучные основы профессиональной деятельности», «Учение о сферах Земли»,  «Основы экологии и природопользования», «Биоэкология и охрана окружающей среды», «Исследования и обработка информации в природопользовании».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ascii="Times New Roman" w:hAnsi="Times New Roman"/>
          <w:bCs/>
          <w:sz w:val="24"/>
          <w:szCs w:val="24"/>
          <w:lang w:eastAsia="ru-RU"/>
        </w:rPr>
        <w:t>360 часов / 10 з. 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Дисциплины: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Планирование и организация научно-экологических исследований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Физико-химические методы анализа в экологии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Естественные и техногенные процессы в биосфере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Эколого-аналитический практикум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Биоиндикация состояния окружающей среды</w:t>
      </w:r>
    </w:p>
    <w:p>
      <w:pPr>
        <w:pStyle w:val="Normal"/>
        <w:spacing w:lineRule="auto" w:line="240" w:before="0" w:after="0"/>
        <w:rPr>
          <w:rFonts w:ascii="Times New Roman" w:hAnsi="Times New Roman" w:eastAsia="Calibri,Italic"/>
          <w:bCs/>
          <w:sz w:val="24"/>
          <w:szCs w:val="24"/>
        </w:rPr>
      </w:pPr>
      <w:r>
        <w:rPr>
          <w:rFonts w:eastAsia="Calibri,Italic" w:ascii="Times New Roman" w:hAnsi="Times New Roman"/>
          <w:bCs/>
          <w:sz w:val="24"/>
          <w:szCs w:val="24"/>
        </w:rPr>
        <w:t>- Экологическая токсикология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2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embedSystemFonts/>
  <w:defaultTabStop w:val="708"/>
  <w:autoHyphenation w:val="true"/>
  <w:doNotHyphenateCaps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7023a8"/>
    <w:rPr>
      <w:rFonts w:ascii="Cambria" w:hAnsi="Cambria" w:cs="Times New Roman"/>
      <w:b/>
      <w:bCs/>
      <w:color w:val="365F91"/>
      <w:sz w:val="28"/>
      <w:szCs w:val="28"/>
    </w:rPr>
  </w:style>
  <w:style w:type="character" w:styleId="ListParagraphChar" w:customStyle="1">
    <w:name w:val="List Paragraph Char"/>
    <w:link w:val="ListParagraph"/>
    <w:uiPriority w:val="99"/>
    <w:qFormat/>
    <w:locked/>
    <w:rsid w:val="000f605d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2508f5"/>
    <w:rPr>
      <w:rFonts w:ascii="Tahoma" w:hAnsi="Tahoma" w:cs="Tahoma"/>
      <w:sz w:val="16"/>
      <w:szCs w:val="16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0748d4"/>
    <w:rPr>
      <w:rFonts w:ascii="Times New Roman" w:hAnsi="Times New Roman" w:cs="Times New Roman"/>
      <w:sz w:val="20"/>
      <w:szCs w:val="20"/>
      <w:lang w:eastAsia="ru-RU"/>
    </w:rPr>
  </w:style>
  <w:style w:type="character" w:styleId="Style13">
    <w:name w:val="Выделение"/>
    <w:basedOn w:val="DefaultParagraphFont"/>
    <w:uiPriority w:val="99"/>
    <w:qFormat/>
    <w:rsid w:val="00074c40"/>
    <w:rPr>
      <w:rFonts w:cs="Times New Roman"/>
      <w:i/>
      <w:iCs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ca7167"/>
    <w:rPr>
      <w:rFonts w:ascii="Calibri" w:hAnsi="Calibri" w:cs="Times New Roman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ca7167"/>
    <w:rPr>
      <w:rFonts w:ascii="Calibri" w:hAnsi="Calibri" w:cs="Times New Roman"/>
    </w:rPr>
  </w:style>
  <w:style w:type="character" w:styleId="Annotationreference">
    <w:name w:val="annotation reference"/>
    <w:basedOn w:val="DefaultParagraphFont"/>
    <w:uiPriority w:val="99"/>
    <w:semiHidden/>
    <w:qFormat/>
    <w:rsid w:val="00892674"/>
    <w:rPr>
      <w:rFonts w:cs="Times New Roman"/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locked/>
    <w:rsid w:val="00892674"/>
    <w:rPr>
      <w:rFonts w:ascii="Calibri" w:hAnsi="Calibri"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locked/>
    <w:rsid w:val="00892674"/>
    <w:rPr>
      <w:b/>
      <w:bCs/>
    </w:rPr>
  </w:style>
  <w:style w:type="character" w:styleId="Appleconvertedspace" w:customStyle="1">
    <w:name w:val="apple-converted-space"/>
    <w:basedOn w:val="DefaultParagraphFont"/>
    <w:uiPriority w:val="99"/>
    <w:qFormat/>
    <w:rsid w:val="00702a5b"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99"/>
    <w:qFormat/>
    <w:rsid w:val="000f605d"/>
    <w:pPr>
      <w:spacing w:lineRule="auto" w:line="259" w:before="0" w:after="160"/>
      <w:ind w:left="720" w:hanging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HeaderChar"/>
    <w:uiPriority w:val="99"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FooterChar"/>
    <w:uiPriority w:val="99"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CommentTextChar"/>
    <w:uiPriority w:val="99"/>
    <w:semiHidden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qFormat/>
    <w:rsid w:val="00892674"/>
    <w:pPr/>
    <w:rPr>
      <w:b/>
      <w:bCs/>
    </w:rPr>
  </w:style>
  <w:style w:type="paragraph" w:styleId="Default" w:customStyle="1">
    <w:name w:val="Default"/>
    <w:uiPriority w:val="99"/>
    <w:qFormat/>
    <w:rsid w:val="006e62d8"/>
    <w:pPr>
      <w:widowControl/>
      <w:bidi w:val="0"/>
      <w:spacing w:before="0" w:after="0"/>
      <w:jc w:val="left"/>
    </w:pPr>
    <w:rPr>
      <w:rFonts w:cs="Calibri" w:ascii="Calibri" w:hAnsi="Calibri" w:eastAsia="Calibri"/>
      <w:color w:val="000000"/>
      <w:kern w:val="0"/>
      <w:sz w:val="24"/>
      <w:szCs w:val="24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c424b7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db597c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Application>LibreOffice/6.4.2.2$Windows_x86 LibreOffice_project/4e471d8c02c9c90f512f7f9ead8875b57fcb1ec3</Application>
  <Pages>4</Pages>
  <Words>1002</Words>
  <Characters>8581</Characters>
  <CharactersWithSpaces>9527</CharactersWithSpaces>
  <Paragraphs>84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2019-06-11T11:02:00Z</dcterms:created>
  <dc:creator>User</dc:creator>
  <dc:description/>
  <dc:language>ru-RU</dc:language>
  <cp:lastModifiedBy/>
  <cp:lastPrinted>2018-12-14T12:13:00Z</cp:lastPrinted>
  <dcterms:modified xsi:type="dcterms:W3CDTF">2021-06-01T11:53:19Z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